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134A" w14:textId="6F23BF68" w:rsidR="00134CED" w:rsidRPr="00BB2B8B" w:rsidRDefault="00134CED" w:rsidP="00BB2B8B">
      <w:pPr>
        <w:spacing w:after="0" w:line="276" w:lineRule="auto"/>
        <w:jc w:val="both"/>
        <w:rPr>
          <w:rFonts w:ascii="Times New Roman" w:hAnsi="Times New Roman" w:cs="Times New Roman"/>
          <w:b/>
          <w:bCs/>
          <w:smallCaps/>
          <w:sz w:val="32"/>
          <w:szCs w:val="24"/>
          <w:lang w:val="en-GB"/>
        </w:rPr>
      </w:pPr>
      <w:proofErr w:type="spellStart"/>
      <w:r w:rsidRPr="00BB2B8B">
        <w:rPr>
          <w:rFonts w:ascii="Times New Roman" w:hAnsi="Times New Roman" w:cs="Times New Roman"/>
          <w:b/>
          <w:bCs/>
          <w:smallCaps/>
          <w:sz w:val="32"/>
          <w:szCs w:val="24"/>
          <w:lang w:val="en-GB"/>
        </w:rPr>
        <w:t>IsoMedIta</w:t>
      </w:r>
      <w:proofErr w:type="spellEnd"/>
      <w:r w:rsidRPr="00BB2B8B">
        <w:rPr>
          <w:rFonts w:ascii="Times New Roman" w:hAnsi="Times New Roman" w:cs="Times New Roman"/>
          <w:b/>
          <w:bCs/>
          <w:smallCaps/>
          <w:sz w:val="32"/>
          <w:szCs w:val="24"/>
          <w:lang w:val="en-GB"/>
        </w:rPr>
        <w:t xml:space="preserve"> References</w:t>
      </w:r>
    </w:p>
    <w:p w14:paraId="66D01F4B" w14:textId="77777777" w:rsidR="00134CED" w:rsidRPr="00BB2B8B" w:rsidRDefault="00134CED" w:rsidP="00BB2B8B">
      <w:pPr>
        <w:spacing w:after="0" w:line="276" w:lineRule="auto"/>
        <w:jc w:val="both"/>
        <w:rPr>
          <w:rFonts w:ascii="Times New Roman" w:hAnsi="Times New Roman" w:cs="Times New Roman"/>
          <w:b/>
          <w:bCs/>
          <w:smallCaps/>
          <w:sz w:val="32"/>
          <w:szCs w:val="24"/>
          <w:lang w:val="en-GB"/>
        </w:rPr>
      </w:pPr>
    </w:p>
    <w:p w14:paraId="07CDA0E9" w14:textId="32F8A743" w:rsidR="00212D7C" w:rsidRPr="00BB2B8B" w:rsidRDefault="00DA47DB" w:rsidP="00BB2B8B">
      <w:pPr>
        <w:spacing w:after="0" w:line="276" w:lineRule="auto"/>
        <w:jc w:val="both"/>
        <w:rPr>
          <w:rFonts w:ascii="Times New Roman" w:hAnsi="Times New Roman" w:cs="Times New Roman"/>
          <w:b/>
          <w:bCs/>
          <w:smallCaps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bCs/>
          <w:smallCaps/>
          <w:sz w:val="32"/>
          <w:szCs w:val="24"/>
          <w:lang w:val="en-GB"/>
        </w:rPr>
        <w:t>Human</w:t>
      </w:r>
      <w:r w:rsidR="00212D7C" w:rsidRPr="00BB2B8B">
        <w:rPr>
          <w:rFonts w:ascii="Times New Roman" w:hAnsi="Times New Roman" w:cs="Times New Roman"/>
          <w:b/>
          <w:bCs/>
          <w:smallCaps/>
          <w:sz w:val="32"/>
          <w:szCs w:val="24"/>
          <w:lang w:val="en-GB"/>
        </w:rPr>
        <w:t xml:space="preserve"> dataset</w:t>
      </w:r>
    </w:p>
    <w:p w14:paraId="0EA61E55" w14:textId="77777777" w:rsidR="004A1226" w:rsidRPr="00BB2B8B" w:rsidRDefault="004A1226" w:rsidP="00BB2B8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E9457F3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Amorim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C.E.G.,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Vai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Posth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C., Modi, A.,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Koncz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I., Hakenbeck, S., La Rocca, M.C., Mende, B., Bobo, D., Pohl, W.,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Pejrani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Baricco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L.,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Bedini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Francalacci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P.,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Giostra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C., Vida, T., Winger, D., von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Freeden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U.,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Ghirotto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Lari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Barbujani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G., Krause, J.,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Caramelli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D., Geary, P.J.,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Veeramah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K.R. (2018). Understanding 6th-century barbarian social organization and migration through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paleogenomics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B2B8B">
        <w:rPr>
          <w:rFonts w:ascii="Times New Roman" w:hAnsi="Times New Roman" w:cs="Times New Roman"/>
          <w:sz w:val="24"/>
          <w:szCs w:val="24"/>
        </w:rPr>
        <w:t>Nature Communications 9. DOI: 10.1038/s41467-018-06024-4.</w:t>
      </w:r>
    </w:p>
    <w:p w14:paraId="4E94C8FD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Baldoni, M., Nardi,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Müldner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G., Lelli, R., Gnes, M., Ferraresi, F., Meloni, V., Cerino, P., Greco, S., Manenti, G., Angle, M.,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Rickards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Martínez-Labarga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C. (2016).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Archaeo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-biological reconstruction of the Italian medieval population of Colonna (8th–10th centuries CE). </w:t>
      </w:r>
      <w:r w:rsidRPr="00BB2B8B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Archaeological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Science: Reports 10: 483-494.</w:t>
      </w:r>
    </w:p>
    <w:p w14:paraId="1BD7E169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Baldoni, M., Scorrano, G., Alexander, M., Stasolla, F.R., Marsella, L.T.,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Rickards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Martínez-Labarga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C. (2019).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The medieval population of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Leopoli-Cencelle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Viterbo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>, Latium): Dietary reconstruction through stable isotope analysis from bone proteins. Journal of Archaeological Science: Reports 24: 92-101.</w:t>
      </w:r>
    </w:p>
    <w:p w14:paraId="254C1485" w14:textId="77777777" w:rsidR="002E4627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Bernardini, S.,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Asrat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Mogesie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S., Micarelli, I., Manzi, G.,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Tafuri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M.A. (2021).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Contribution to Longobard dietary studies: Stable carbon and nitrogen isotope data from Castel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Trosino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(6th -8th c. CE, Ascoli Piceno, central Italy). </w:t>
      </w:r>
      <w:r w:rsidRPr="00BB2B8B">
        <w:rPr>
          <w:rFonts w:ascii="Times New Roman" w:hAnsi="Times New Roman" w:cs="Times New Roman"/>
          <w:sz w:val="24"/>
          <w:szCs w:val="24"/>
        </w:rPr>
        <w:t>Data in Brief 38: 107290. DOI: 10.1016/j.dib.2021.107290</w:t>
      </w:r>
    </w:p>
    <w:p w14:paraId="45B64D8B" w14:textId="1DAA31FA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Buonincontri, M.P., Pecci, A., Di Pasquale, G., Ricci, P., Lubritto, C. (2017).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>Multiproxy Approach to the study of Medieval food habits in Tuscany (central Italy). Archaeological and Anthropological Science 9: 653-671.</w:t>
      </w:r>
    </w:p>
    <w:p w14:paraId="67F25EB2" w14:textId="3900C6DE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Ciaffi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R.,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Lelli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R.,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Müldner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G.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Stantcheva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K.,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Fischetti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A.L.,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Ghini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G., Craig, O.E., Milano, F. Rickards, O.,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Arcudi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G.,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Martínez-Labarga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C. (2015). Palaeobiology of the Medieval population of Albano (Rome, Italy): A combined morphological and biomolecular approach. International Journal of Osteoarchaeology 25: 477-488. </w:t>
      </w:r>
    </w:p>
    <w:p w14:paraId="5A3A4069" w14:textId="77777777" w:rsidR="00365E10" w:rsidRPr="00365E10" w:rsidRDefault="00365E10" w:rsidP="00365E1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Cocozza, C., Teegen, W.R.,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Vigliarolo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I.,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Favia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P., Giuliani, R.,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Muntoni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I.M.,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Oione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D.,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Clemens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L., Groß, M., Roberts, P., Lubritto, C., Fernandes R. (2022). </w:t>
      </w:r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A Bayesian multi-proxy contribution to the socioeconomic, political, and cultural history of Late Medieval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Capitanata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(southern Italy). 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Scientific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Reports (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Submitted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October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2022).</w:t>
      </w:r>
    </w:p>
    <w:p w14:paraId="1890FB30" w14:textId="77777777" w:rsidR="002E4627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Fiorin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E., Moore, J., Montgomery, J.,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Mariotti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Lippi, M., Nowell, G.,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Forlin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P. (2021). Combining dental calculus with isotope analysis in the Alps: New evidence from the Roman and medieval cemeteries of Lamon, Italy.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Quaternary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International. DOI: 10.1016/j.quaint.2021.11.022</w:t>
      </w:r>
    </w:p>
    <w:p w14:paraId="006E0643" w14:textId="4A040DC4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Francisci, G., Micarelli, I.,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Iacumin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P., Castorina, F., Di Vincenzo, F., Di Matteo, M., Giostra, C., Manzi, G., Tafuri, M.A. (2020).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Strontium and oxygen isotopes as indicators of Longobards mobility in Italy: an investigation at Povegliano Veronese. </w:t>
      </w:r>
      <w:r w:rsidRPr="00BB2B8B">
        <w:rPr>
          <w:rFonts w:ascii="Times New Roman" w:hAnsi="Times New Roman" w:cs="Times New Roman"/>
          <w:sz w:val="24"/>
          <w:szCs w:val="24"/>
        </w:rPr>
        <w:t xml:space="preserve">Nature. Scientific Reports 10: 11678. </w:t>
      </w:r>
      <w:proofErr w:type="gramStart"/>
      <w:r w:rsidRPr="00BB2B8B">
        <w:rPr>
          <w:rFonts w:ascii="Times New Roman" w:hAnsi="Times New Roman" w:cs="Times New Roman"/>
          <w:sz w:val="24"/>
          <w:szCs w:val="24"/>
        </w:rPr>
        <w:t>DOI:  10.1038</w:t>
      </w:r>
      <w:proofErr w:type="gramEnd"/>
      <w:r w:rsidRPr="00BB2B8B">
        <w:rPr>
          <w:rFonts w:ascii="Times New Roman" w:hAnsi="Times New Roman" w:cs="Times New Roman"/>
          <w:sz w:val="24"/>
          <w:szCs w:val="24"/>
        </w:rPr>
        <w:t xml:space="preserve">/s41598-020-67480-x </w:t>
      </w:r>
    </w:p>
    <w:p w14:paraId="7E732A95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Gismondi, A., Baldoni, M., Gnes, M., Scorrano, G., D’Agostino, A., Di Marco, G., Calabria, G., Petrucci, M.,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Müldner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G., Von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Tersch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M., Nardi, A., Enei, F., Canini, A.,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Rickards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O., Alexander, M.,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Martínez-Labarga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C. (2020).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A multidisciplinary approach for investigating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dietary and medicinal habits of the Medieval population of Santa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Severa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(7th-15th centuries, Rome, Italy). </w:t>
      </w:r>
      <w:r w:rsidRPr="00BB2B8B">
        <w:rPr>
          <w:rFonts w:ascii="Times New Roman" w:hAnsi="Times New Roman" w:cs="Times New Roman"/>
          <w:sz w:val="24"/>
          <w:szCs w:val="24"/>
        </w:rPr>
        <w:t>PLoS One 15: e0227433. DOI: 10.1371/journal.pone.0227433.</w:t>
      </w:r>
    </w:p>
    <w:p w14:paraId="3EAC103A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</w:rPr>
        <w:t>Iacumin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P., Galli, E., Cavalli, F., Cecere, L. (2014).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>C4-consumers in Southern Europe: The case of Friuli V.G. (NE-Italy) during Early and Central Middle Ages. American Journal of Physical Anthropology 154: 561-574.</w:t>
      </w:r>
    </w:p>
    <w:p w14:paraId="1B28AF70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</w:rPr>
        <w:t>Laffranchi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Z., Mazzucchi, A., Thompson, S.,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Delgado-Hueltas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Granados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-Torres, A., Milella, M. (2020).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>Funerary reuse of a Roman amphitheatre: Palaeodietary and osteological study of Early Middle Ages burials (8th and 9th centuries AD) discovered in the Arena of Verona (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Northeastern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Italy). </w:t>
      </w:r>
      <w:r w:rsidRPr="00BB2B8B">
        <w:rPr>
          <w:rFonts w:ascii="Times New Roman" w:hAnsi="Times New Roman" w:cs="Times New Roman"/>
          <w:sz w:val="24"/>
          <w:szCs w:val="24"/>
        </w:rPr>
        <w:t xml:space="preserve">International Journal of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Osteoarchaeology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30: 435-448. </w:t>
      </w:r>
    </w:p>
    <w:p w14:paraId="2B097B50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Marinato, M. (2014). Analisi isotopiche e bioarcheologia come fonti per lo studio del popolamento tra tardo antico e alto medioevo in Italia settentrionale. Dati a confronto per le province di Bergamo, Modena e Verona.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Unpublished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>: Università degli studi di Padova.</w:t>
      </w:r>
    </w:p>
    <w:p w14:paraId="62046829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Marinato, M. (2017). Analisi degli isotopi stabili delle sepolture altomedievali. In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Chavarría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Arnau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>, A. (ed.), Ricerche sul centro episcopale di Padova. Scavi 2011-2012. Mantova. 151-154.</w:t>
      </w:r>
    </w:p>
    <w:p w14:paraId="0F828BB5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2B8B">
        <w:rPr>
          <w:rFonts w:ascii="Times New Roman" w:hAnsi="Times New Roman" w:cs="Times New Roman"/>
          <w:sz w:val="24"/>
          <w:szCs w:val="24"/>
        </w:rPr>
        <w:t>Marinato, M. (2018). Potenzialità di un approccio multidisciplinare per lo studio del popolamento antico: il territorio di Bergamo tra tarda antichità e alto medioevo. In Giostra, C. (ed.), Città e campagna: culture, insediamenti, economia (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secc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. VI-IX). ‘II Incontro per l’Archeologia barbarica Milano, 15 maggio 2017’.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Mantova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>. 75-96.</w:t>
      </w:r>
    </w:p>
    <w:p w14:paraId="3356974F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2B8B">
        <w:rPr>
          <w:rFonts w:ascii="Times New Roman" w:hAnsi="Times New Roman" w:cs="Times New Roman"/>
          <w:sz w:val="24"/>
          <w:szCs w:val="24"/>
          <w:lang w:val="en-GB"/>
        </w:rPr>
        <w:t>Maxwell, A. (2019). Exploring Variations in Diet and Migration from Late Antiquity to the Early Medieval Period in the Veneto, Italy: A Biochemical Analysis. Unpublished PhD dissertation: University of South Florida.</w:t>
      </w:r>
    </w:p>
    <w:p w14:paraId="1ABF454B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2B8B">
        <w:rPr>
          <w:rFonts w:ascii="Times New Roman" w:hAnsi="Times New Roman" w:cs="Times New Roman"/>
          <w:sz w:val="24"/>
          <w:szCs w:val="24"/>
          <w:lang w:val="en-GB"/>
        </w:rPr>
        <w:t>Nitsch, E.K. (2012). Stable isotope evidence for diet change in Roman and Medieval Italy: local, regional and continental perspectives. Unpublished PhD Dissertation: University of Oxford.</w:t>
      </w:r>
    </w:p>
    <w:p w14:paraId="1444C503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O’Connell, T., Ballantyne, R.M., Hamilton-Dyer, S.,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Margaritis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E., Oxford, S.,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Pantano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W., Millett, M.,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Keay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S.J. (2019). Living and dying at the Portus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Romae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>. Antiquity 93: 719-734.</w:t>
      </w:r>
    </w:p>
    <w:p w14:paraId="322E67D7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Paladin, A., Moghaddam, N.,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Stawinoga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A.E.,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Siebke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I.,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Depellegrin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V.,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Tecchiati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U.,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Lösch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S., Zink, A. (2020). Early medieval Italian Alps: reconstructing diet and mobility in the valleys.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Archaeological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Anthropological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Science 12. DOI: 10.1007/s12520-019-00982-6.</w:t>
      </w:r>
    </w:p>
    <w:p w14:paraId="0B1523AF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</w:rPr>
        <w:t>Pescucci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L., Battistini, A., De Angelis, F., Catalano, P. (2013). Vivere al centro di Roma nell’VIII secolo D.C. Indicazioni Antropologiche. Bollettino di Archeologia On Line 4: 113-138.   </w:t>
      </w:r>
    </w:p>
    <w:p w14:paraId="33092A9F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</w:rPr>
        <w:t>Reitsema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L.J.,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Vercellotti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G. (2012).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Stable isotope evidence for sex- and status-based variations in diet and life history at Medieval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Trino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Vercellese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>, Italy. American Journal of Physical Anthropology 148: 589-600.</w:t>
      </w:r>
    </w:p>
    <w:p w14:paraId="1324AA3F" w14:textId="77777777" w:rsidR="004A1226" w:rsidRPr="00BB2B8B" w:rsidRDefault="004A1226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</w:rPr>
        <w:t>Reitsema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L.J.,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Vercellotti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Boano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R. (2016).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Subadult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dietary variation at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Trino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Vercellese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Italy, and its relationship to adult diet and mortality. </w:t>
      </w:r>
      <w:r w:rsidRPr="00BB2B8B">
        <w:rPr>
          <w:rFonts w:ascii="Times New Roman" w:hAnsi="Times New Roman" w:cs="Times New Roman"/>
          <w:sz w:val="24"/>
          <w:szCs w:val="24"/>
        </w:rPr>
        <w:t xml:space="preserve">American Journal of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160: 653-664.</w:t>
      </w:r>
    </w:p>
    <w:p w14:paraId="523C496C" w14:textId="77777777" w:rsidR="002E4627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Ricci, P., Mongelli, V., Vitiello, A., Campana, S., Sirignano, C., Rubino, M., Fornaciari, G., Lubritto, C. (2012).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The privileged burial of the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Pava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Pieve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(Siena, 8th Century AD). Rapid Communications in Mass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Spectometry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26: 2393-2398.</w:t>
      </w:r>
    </w:p>
    <w:p w14:paraId="5DED7155" w14:textId="77777777" w:rsidR="002E4627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</w:rPr>
        <w:lastRenderedPageBreak/>
        <w:t>Riccomi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Minozzi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Zech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J., Cantini, F.,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Giuffra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V., Roberts, P. (2020).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>Stable isotopic reconstruction of dietary changes across Late Antiquity and the Middle Ages in Tuscany. Journal of Archaeological Science: Reports 33: 102546. DOI: 10.1016/j.jasrep.2020.102546</w:t>
      </w:r>
    </w:p>
    <w:p w14:paraId="4BFC5AAA" w14:textId="77777777" w:rsidR="002E4627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Rolandsen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>, G.L., Arthur, P., Alexander, M. (2019). A tale of two villages: Isotopic insight into diet, economy, cultural diversity and agrarian communities in medieval (11th-15th century CE) Apulia, Southern Italy. Journal of Archaeological Science: Reports 28. DOI: 10.1016/j.jasrep.2019.102009.</w:t>
      </w:r>
    </w:p>
    <w:p w14:paraId="78B35B6A" w14:textId="77777777" w:rsidR="002E4627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M., Coppa, A.,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McCormick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M., Rubini, M.,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Vargiu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Tuross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N. (2008).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The consilience of historical and isotopic approaches in reconstructing the medieval Mediterranean diet. </w:t>
      </w:r>
      <w:r w:rsidRPr="00BB2B8B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Archaeological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Science 35: 1667-1672.</w:t>
      </w:r>
    </w:p>
    <w:p w14:paraId="5AC1A086" w14:textId="77777777" w:rsidR="002E4627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Scorrano, G., Brilli, M.,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Martínez-Labarga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C., Giustini, F., Pacciani, E.,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Chilleri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F., Scaldaferri, F.,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Gasbarrini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Gasbarrini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Rickards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O. (2014).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Palaeodiet reconstruction in a woman with probable celiac disease: A stable isotope analysis of Bone remains from the Archaeological site of Cosa (Italy). American Journal of Physical Anthropology 154: 349-356. </w:t>
      </w:r>
    </w:p>
    <w:p w14:paraId="2F1716B6" w14:textId="77777777" w:rsidR="002E4627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B2B8B">
        <w:rPr>
          <w:rFonts w:ascii="Times New Roman" w:hAnsi="Times New Roman" w:cs="Times New Roman"/>
          <w:sz w:val="24"/>
          <w:szCs w:val="24"/>
        </w:rPr>
        <w:t>Tafuri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M.A.,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Goude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G., Manzi, G. (2018).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>Isotopic evidence of diet variation at the transition between classical and post-classical times in Central Italy. Journal of Archaeological Science: Reports 21: 496-503.</w:t>
      </w:r>
    </w:p>
    <w:p w14:paraId="1E183480" w14:textId="77777777" w:rsidR="002E4627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Torino, M.,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Bodsen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J.L.,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Tarp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Rasmussen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K.L.,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Skytte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L., Nielsen, L., Schiavone, S.,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Terrasi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F., Passariello, I., Ricci, P., Lubritto, C. (2015).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Convento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di San Francesco a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Folloni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: the function of a Medieval Franciscan Friary seen through the burials. </w:t>
      </w:r>
      <w:r w:rsidRPr="00BB2B8B">
        <w:rPr>
          <w:rFonts w:ascii="Times New Roman" w:hAnsi="Times New Roman" w:cs="Times New Roman"/>
          <w:sz w:val="24"/>
          <w:szCs w:val="24"/>
        </w:rPr>
        <w:t>Heritage Science 27. DOI: 10.1186/s40494-015-0056-z.</w:t>
      </w:r>
    </w:p>
    <w:p w14:paraId="0BE0713C" w14:textId="77777777" w:rsidR="002E4627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Varano, S., De Angelis, F., Battistini, A.,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Brancazi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L., Pantano, W., Ricci, P.,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Romboni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M., Catalano, P., Gazzaniga, V., Lubritto, C.,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Santangeli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Valenzani, R.,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Martínez-Labarga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Rickards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O. (2020).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>The edge of the Empire: diet characterization of medieval Rome through stable isotope analysis. Archaeological and Anthropological Science 12. DOI: 10.1007/s12520-020-01158-3</w:t>
      </w:r>
    </w:p>
    <w:p w14:paraId="49565B41" w14:textId="0415AE5D" w:rsidR="00212D7C" w:rsidRPr="00BB2B8B" w:rsidRDefault="002E4627" w:rsidP="00BB2B8B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Viva, S., Fabbri, P.F., Ricci, P., Bianchi, G.,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Hodges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R., Lubritto, C. (2021). </w:t>
      </w:r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nEU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-Med. The Contribution of Isotopic Analysis in the Differential Diagnosis of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the Case of the Medieval Cemetery of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Vetricella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Scarlino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 xml:space="preserve">, GR) in Tuscany.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Archaeology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>. DOI: 10.1080/14614103.2020.1867290</w:t>
      </w:r>
    </w:p>
    <w:p w14:paraId="6F1590FB" w14:textId="2967DF73" w:rsidR="00212D7C" w:rsidRPr="00BB2B8B" w:rsidRDefault="00212D7C" w:rsidP="00BB2B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418C5" w14:textId="1295E1D0" w:rsidR="00212D7C" w:rsidRPr="00BB2B8B" w:rsidRDefault="00212D7C" w:rsidP="00BB2B8B">
      <w:pPr>
        <w:spacing w:after="0" w:line="276" w:lineRule="auto"/>
        <w:jc w:val="both"/>
        <w:rPr>
          <w:rFonts w:ascii="Times New Roman" w:hAnsi="Times New Roman" w:cs="Times New Roman"/>
          <w:b/>
          <w:bCs/>
          <w:smallCaps/>
          <w:sz w:val="32"/>
          <w:szCs w:val="24"/>
        </w:rPr>
      </w:pPr>
      <w:proofErr w:type="spellStart"/>
      <w:r w:rsidRPr="00BB2B8B">
        <w:rPr>
          <w:rFonts w:ascii="Times New Roman" w:hAnsi="Times New Roman" w:cs="Times New Roman"/>
          <w:b/>
          <w:bCs/>
          <w:smallCaps/>
          <w:sz w:val="32"/>
          <w:szCs w:val="24"/>
        </w:rPr>
        <w:t>Animal</w:t>
      </w:r>
      <w:proofErr w:type="spellEnd"/>
      <w:r w:rsidRPr="00BB2B8B">
        <w:rPr>
          <w:rFonts w:ascii="Times New Roman" w:hAnsi="Times New Roman" w:cs="Times New Roman"/>
          <w:b/>
          <w:bCs/>
          <w:smallCaps/>
          <w:sz w:val="32"/>
          <w:szCs w:val="24"/>
        </w:rPr>
        <w:t xml:space="preserve"> </w:t>
      </w:r>
      <w:proofErr w:type="spellStart"/>
      <w:r w:rsidRPr="00BB2B8B">
        <w:rPr>
          <w:rFonts w:ascii="Times New Roman" w:hAnsi="Times New Roman" w:cs="Times New Roman"/>
          <w:b/>
          <w:bCs/>
          <w:smallCaps/>
          <w:sz w:val="32"/>
          <w:szCs w:val="24"/>
        </w:rPr>
        <w:t>dataset</w:t>
      </w:r>
      <w:proofErr w:type="spellEnd"/>
    </w:p>
    <w:p w14:paraId="1B04936D" w14:textId="53581BF6" w:rsidR="00212D7C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2B8B">
        <w:rPr>
          <w:rFonts w:ascii="Times New Roman" w:hAnsi="Times New Roman" w:cs="Times New Roman"/>
          <w:sz w:val="24"/>
          <w:szCs w:val="24"/>
        </w:rPr>
        <w:t xml:space="preserve">Baldoni, M., Nardi,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Müldner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G., Lelli, R., Gnes, M., Ferraresi, F., Meloni, V., Cerino, P., Greco, S., Manenti, G., Angle, M.,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Rickards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BB2B8B">
        <w:rPr>
          <w:rFonts w:ascii="Times New Roman" w:hAnsi="Times New Roman" w:cs="Times New Roman"/>
          <w:sz w:val="24"/>
          <w:szCs w:val="24"/>
        </w:rPr>
        <w:t>Martínez-Labarga</w:t>
      </w:r>
      <w:proofErr w:type="spellEnd"/>
      <w:r w:rsidRPr="00BB2B8B">
        <w:rPr>
          <w:rFonts w:ascii="Times New Roman" w:hAnsi="Times New Roman" w:cs="Times New Roman"/>
          <w:sz w:val="24"/>
          <w:szCs w:val="24"/>
        </w:rPr>
        <w:t xml:space="preserve">, C. (2016). </w:t>
      </w:r>
      <w:proofErr w:type="spellStart"/>
      <w:r w:rsidRPr="00BB2B8B">
        <w:rPr>
          <w:rFonts w:ascii="Times New Roman" w:hAnsi="Times New Roman" w:cs="Times New Roman"/>
          <w:sz w:val="24"/>
          <w:szCs w:val="24"/>
          <w:lang w:val="en-GB"/>
        </w:rPr>
        <w:t>Archaeo</w:t>
      </w:r>
      <w:proofErr w:type="spellEnd"/>
      <w:r w:rsidRPr="00BB2B8B">
        <w:rPr>
          <w:rFonts w:ascii="Times New Roman" w:hAnsi="Times New Roman" w:cs="Times New Roman"/>
          <w:sz w:val="24"/>
          <w:szCs w:val="24"/>
          <w:lang w:val="en-GB"/>
        </w:rPr>
        <w:t>-biological reconstruction of the Italian medieval population of Colonna (8th–10th centuries CE). Journal of Archaeological Science: Reports 10: 483-494.</w:t>
      </w:r>
    </w:p>
    <w:p w14:paraId="0B051761" w14:textId="654B2E4E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Baldoni, M., Scorrano, G., Alexander,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Stasolla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F.R., Marsella, L.T.,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Rickards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Martínez-Labarga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C. (2019).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The medieval population of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Leopoli-Cencelle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(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Viterbo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. Latium): Dietary reconstruction through stable isotope analysis from bone proteins. Journal of Archaeological Science: Reports 24: 92-101.</w:t>
      </w:r>
    </w:p>
    <w:p w14:paraId="103C4739" w14:textId="738503DC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2BB7B7B0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Baldoni, M., Scorrano, G., Gismondi, A., D’Agostino, A., Alexander,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Gaspari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L., Vallelonga, F., Canini, A.,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Rickards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Martínez-Labarga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C. (2018).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Who were the miners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lastRenderedPageBreak/>
        <w:t xml:space="preserve">of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Allumiere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? A multidisciplinary approach to reconstruct the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osteobiography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of an Italian worker community.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PLoS ONE 13: e0205362. DOI: 10.1371/journal.pone.0205362.</w:t>
      </w:r>
    </w:p>
    <w:p w14:paraId="50F20AED" w14:textId="420EA93D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3B001D7" w14:textId="4506F2D2" w:rsidR="00134CED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Buonincontri, M.P., Pecci, A., Di Pasquale, G., Ricci, P., Lubritto, C. (2017).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Multiproxy Approach to the study of Medieval food habits in Tuscany (central Italy).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Archaeological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Anthropological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Science 9: 653-671.</w:t>
      </w:r>
    </w:p>
    <w:p w14:paraId="6CFA4C3D" w14:textId="77777777" w:rsidR="00365E10" w:rsidRPr="00365E10" w:rsidRDefault="00365E10" w:rsidP="00365E10">
      <w:pPr>
        <w:pStyle w:val="Paragrafoelenc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3B6CEE6" w14:textId="77777777" w:rsidR="00365E10" w:rsidRPr="00365E10" w:rsidRDefault="00365E10" w:rsidP="00365E1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Cocozza, C., Teegen, W.R.,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Vigliarolo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I.,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Favia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P., Giuliani, R.,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Muntoni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I.M.,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Oione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D.,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Clemens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L., Groß, M., Roberts, P., Lubritto, C., Fernandes R. (2022). </w:t>
      </w:r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A Bayesian multi-proxy contribution to the socioeconomic, political, and cultural history of Late Medieval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Capitanata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(southern Italy). 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Scientific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Reports (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Submitted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October</w:t>
      </w:r>
      <w:proofErr w:type="spellEnd"/>
      <w:r w:rsidRPr="00365E1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2022).</w:t>
      </w:r>
    </w:p>
    <w:p w14:paraId="477F5BE2" w14:textId="524377DC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7702EECB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Francisci, G., Micarelli, I.,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Iacumin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P., Castorina, F., Di Vincenzo, F., Di Matteo, M., Giostra, C., Manzi, G., Tafuri, M.A. (2020).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Strontium and oxygen isotopes as indicators of Longobards mobility in Italy: an investigation at Povegliano Veronese. Nature. Scientific Reports 10: 11678. DOI:  10.1038/s41598-020-67480-x </w:t>
      </w:r>
    </w:p>
    <w:p w14:paraId="015A1C33" w14:textId="468FE9D1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14F33C40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Gismondi, A., Baldoni,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Gnes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M., Scorrano, G., D’Agostino, A., Di Marco, G., Calabria, G., Petrucci,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Müldner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G., Von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Tersch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M., Nardi, A., Enei, F., Canini, A.,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Rickards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O., Alexander,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Martínez-Labarga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C. (2020).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A multidisciplinary approach for investigating dietary and medicinal habits of the Medieval population of Santa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Severa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(7th-15th centuries, Rome, Italy).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PLoS One 15: e0227433. DOI: 10.1371/journal.pone.0227433.</w:t>
      </w:r>
    </w:p>
    <w:p w14:paraId="1A09CB5F" w14:textId="525B1022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C3102EC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Iacumin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P., Galli, E., Cavalli, F., Cecere, L. (2014).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C4-consumers in Southern Europe: The case of Friuli V.G. (NE-Italy) during Early and Central Middle Ages. American Journal of Physical Anthropology 154: 561-574.</w:t>
      </w:r>
    </w:p>
    <w:p w14:paraId="0A86BAA0" w14:textId="3F49FEFC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6F0507F8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Laffranchi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Z., Mazzucchi, A., Thompson, S.,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Delgado-Hueltas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Granados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-Torres, A., Milella, M. (2020).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Funerary reuse of a Roman amphitheatre: Palaeodietary and osteological study of Early Middle Ages burials (8th and 9th centuries AD) discovered in the Arena of Verona (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Northeastern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Italy).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International Journal of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Osteoarchaeology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30: 435-448. </w:t>
      </w:r>
    </w:p>
    <w:p w14:paraId="14C7EEEE" w14:textId="2F0F9694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0F3F671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Marinato, M. (2014). Analisi isotopiche e bioarcheologia come fonti per lo studio del popolamento tra tardo antico e alto medioevo in Italia settentrionale. Dati a confronto per le province di Bergamo, Modena e Verona.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Unpublished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PhD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dissertation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Università degli studi di Padova.</w:t>
      </w:r>
    </w:p>
    <w:p w14:paraId="04106B62" w14:textId="5A423D4B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6F481A2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Marinato, M. (2018). Potenzialità di un approccio multidisciplinare per lo studio del popolamento antico: il territorio di Bergamo tra tarda antichità e alto medioevo. In Giostra, C. (ed.), Città e campagna: culture, insediamenti, economia (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secc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VI-IX). ‘II Incontro per l’Archeologia barbarica Milano, 15 maggio 2017’.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Mantova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. 75-96.</w:t>
      </w:r>
    </w:p>
    <w:p w14:paraId="3A3643FB" w14:textId="0D1DF7ED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76FC90FE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Maxwell, A. (2019). Exploring Variations in Diet and Migration from Late Antiquity to the Early Medieval Period in the Veneto, Italy: A Biochemical Analysis. Unpublished PhD dissertation: University of South Florida.</w:t>
      </w:r>
    </w:p>
    <w:p w14:paraId="51BCEAEE" w14:textId="52535F0D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47C33D55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Nitsch, E.K. (2012). Stable isotope evidence for diet change in Roman and Medieval Italy: local, regional and continental perspectives. Unpublished PhD Dissertation: University of Oxford.</w:t>
      </w:r>
    </w:p>
    <w:p w14:paraId="63725C73" w14:textId="2814B408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27E3B62F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O’Connell, T., Ballantyne, R.M., Hamilton-Dyer, S.,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Margaritis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E., Oxford, S.,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Pantano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W., Millett,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Keay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S.J. (2019). Living and dying at the Portus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Romae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. Antiquity 93: 719-734.</w:t>
      </w:r>
    </w:p>
    <w:p w14:paraId="3D4B5BB1" w14:textId="65D0EC0F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370BF5F3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Paladin, A., Moghaddam, N.,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Stawinoga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A.E.,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Siebke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I.,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Depellegrin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V.,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Tecchiati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U.,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Lösch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S., Zink, A. (2020). Early medieval Italian Alps: reconstructing diet and mobility in the valleys. Archaeological and Anthropological Science 12. DOI: 10.1007/s12520-019-00982-6.</w:t>
      </w:r>
    </w:p>
    <w:p w14:paraId="1AFCE420" w14:textId="60E745CA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1DBB1B8C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Reitsema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L.J.,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Vercellotti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G.,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Boano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R. (2016).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Subadult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dietary variation at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Trino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Vercellese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Italy, and its relationship to adult diet and mortality. American Journal of Physical Anthropology 160: 653-664.</w:t>
      </w:r>
    </w:p>
    <w:p w14:paraId="236D4069" w14:textId="2E1C80A2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6E54F1F2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Riccomi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G.,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Minozzi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Zech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J., Cantini, F.,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Giuffra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V., Roberts, P. (2020).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Stable isotopic reconstruction of dietary changes across Late Antiquity and the Middle Ages in Tuscany. Journal of Archaeological Science: Reports 33: 102546. DOI: 10.1016/j.jasrep.2020.102546</w:t>
      </w:r>
    </w:p>
    <w:p w14:paraId="167F983A" w14:textId="4BD2C13B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1B611DEB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Rolandsen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G.L., Arthur, P., Alexander, M. (2019). A tale of two villages: Isotopic insight into diet, economy, cultural diversity and agrarian communities in medieval (11th-15th century CE) Apulia, Southern Italy.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Journal of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Archaeological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Science: Reports 28. DOI: 10.1016/j.jasrep.2019.102009.</w:t>
      </w:r>
    </w:p>
    <w:p w14:paraId="6F4BD90F" w14:textId="77C57E1C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A9A2B41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Scorrano, G., Brilli,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Martínez-Labarga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C., Giustini, F., Pacciani, E.,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Chilleri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F., Scaldaferri, F.,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Gasbarrini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Gasbarrini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G.,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Rickards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O. (2014).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Palaeodiet reconstruction in a woman with probable celiac disease: A stable isotope analysis of Bone remains from the Archaeological site of Cosa (Italy). American Journal of Physical Anthropology 154: 349-356. </w:t>
      </w:r>
    </w:p>
    <w:p w14:paraId="6E83EBC9" w14:textId="577A17A8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115C378C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Tafuri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M.A.,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Goude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G., Manzi, G. (2018).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Isotopic evidence of diet variation at the transition between classical and post-classical times in Central Italy.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Journal of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Archaeological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Science: Reports 21: 496-503.</w:t>
      </w:r>
    </w:p>
    <w:p w14:paraId="01EA66F8" w14:textId="19CBA751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137B80D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Varano, S., De Angelis, F., Battistini, A.,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Brancazi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L., Pantano, W., Ricci, P.,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Romboni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M., Catalano, P., Gazzaniga, V., Lubritto, C.,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Santangeli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Valenzani, R.,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Martínez-Labarga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Rickards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O. (2020).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The edge of the Empire: diet characterization of medieval Rome through stable isotope analysis. Archaeological and Anthropological Science 12. DOI: 10.1007/s12520-020-01158-3</w:t>
      </w:r>
    </w:p>
    <w:p w14:paraId="34DE7D68" w14:textId="419CA563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04A54608" w14:textId="77777777" w:rsidR="00134CED" w:rsidRPr="00BB2B8B" w:rsidRDefault="00134CED" w:rsidP="00BB2B8B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Viva, S., Fabbri, P.F., Ricci, P., Bianchi, G.,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Hodges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R., Lubritto, C. (2021).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Project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nEU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-Med. The Contribution of Isotopic Analysis in the Differential Diagnosis of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Anemia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the Case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lastRenderedPageBreak/>
        <w:t xml:space="preserve">of the Medieval Cemetery of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Vetricella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(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Scarlino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GR) in Tuscany. Environmental Archaeology. DOI: 10.1080/14614103.2020.1867290</w:t>
      </w:r>
    </w:p>
    <w:p w14:paraId="31819890" w14:textId="537C4818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61E69A7B" w14:textId="77777777" w:rsidR="00134CED" w:rsidRPr="00BB2B8B" w:rsidRDefault="00134CED" w:rsidP="00BB2B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6D40AD74" w14:textId="5D4E62F0" w:rsidR="00134CED" w:rsidRPr="00BB2B8B" w:rsidRDefault="00134CED" w:rsidP="00BB2B8B">
      <w:pPr>
        <w:spacing w:after="0" w:line="276" w:lineRule="auto"/>
        <w:jc w:val="both"/>
        <w:rPr>
          <w:rFonts w:ascii="Times New Roman" w:hAnsi="Times New Roman" w:cs="Times New Roman"/>
          <w:b/>
          <w:bCs/>
          <w:smallCaps/>
          <w:sz w:val="32"/>
          <w:szCs w:val="24"/>
          <w:lang w:val="en-GB"/>
        </w:rPr>
      </w:pPr>
      <w:r w:rsidRPr="00BB2B8B">
        <w:rPr>
          <w:rFonts w:ascii="Times New Roman" w:hAnsi="Times New Roman" w:cs="Times New Roman"/>
          <w:b/>
          <w:bCs/>
          <w:smallCaps/>
          <w:sz w:val="32"/>
          <w:szCs w:val="24"/>
          <w:lang w:val="en-GB"/>
        </w:rPr>
        <w:t>Plant dataset</w:t>
      </w:r>
    </w:p>
    <w:p w14:paraId="2A8E6E8A" w14:textId="77777777" w:rsidR="00134CED" w:rsidRPr="00BB2B8B" w:rsidRDefault="00134CED" w:rsidP="00BB2B8B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Gismondi, A., Baldoni,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Gnes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M., Scorrano, G., D’Agostino, A., Di Marco, G., Calabria, G., Petrucci,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Müldner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G., Von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Tersch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M., Nardi, A., Enei, F., Canini, A.,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Rickards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O., Alexander,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Martínez-Labarga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C. (2020). </w:t>
      </w: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A multidisciplinary approach for investigating dietary and medicinal habits of the Medieval population of Santa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Severa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(7th-15th centuries, Rome, Italy).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PLoS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 One 15: e0227433. DOI: 10.1371/journal.pone.0227433.</w:t>
      </w:r>
    </w:p>
    <w:p w14:paraId="23367A50" w14:textId="353369E4" w:rsidR="00134CED" w:rsidRPr="00BB2B8B" w:rsidRDefault="00134CED" w:rsidP="00BB2B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3CC06E" w14:textId="77777777" w:rsidR="00134CED" w:rsidRPr="00BB2B8B" w:rsidRDefault="00134CED" w:rsidP="00BB2B8B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O’Connell, T., Ballantyne, R.M., Hamilton-Dyer, S.,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Margaritis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E., Oxford, S.,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Pantano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W., Millett, M.,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Keay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, S.J. (2019). Living and dying at the Portus </w:t>
      </w:r>
      <w:proofErr w:type="spellStart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Romae</w:t>
      </w:r>
      <w:proofErr w:type="spellEnd"/>
      <w:r w:rsidRPr="00BB2B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. Antiquity 93: 719-734.</w:t>
      </w:r>
    </w:p>
    <w:p w14:paraId="665A40BD" w14:textId="35CB3F9B" w:rsidR="000225E2" w:rsidRPr="00BB2B8B" w:rsidRDefault="000225E2" w:rsidP="00BB2B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5E2" w:rsidRPr="00BB2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B05"/>
    <w:multiLevelType w:val="hybridMultilevel"/>
    <w:tmpl w:val="EBFE0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5A7"/>
    <w:multiLevelType w:val="hybridMultilevel"/>
    <w:tmpl w:val="6CE05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95E36"/>
    <w:multiLevelType w:val="hybridMultilevel"/>
    <w:tmpl w:val="03F64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2"/>
    <w:rsid w:val="000225E2"/>
    <w:rsid w:val="000959CF"/>
    <w:rsid w:val="000B2622"/>
    <w:rsid w:val="00134CED"/>
    <w:rsid w:val="00212D7C"/>
    <w:rsid w:val="002E4627"/>
    <w:rsid w:val="00365E10"/>
    <w:rsid w:val="00395D37"/>
    <w:rsid w:val="004A1226"/>
    <w:rsid w:val="00913990"/>
    <w:rsid w:val="009E2567"/>
    <w:rsid w:val="00BB2B8B"/>
    <w:rsid w:val="00D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265E"/>
  <w15:chartTrackingRefBased/>
  <w15:docId w15:val="{A6E03324-1564-4846-8522-B6663210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Mantile</dc:creator>
  <cp:keywords/>
  <dc:description/>
  <cp:lastModifiedBy>Carlo</cp:lastModifiedBy>
  <cp:revision>10</cp:revision>
  <dcterms:created xsi:type="dcterms:W3CDTF">2022-10-21T07:47:00Z</dcterms:created>
  <dcterms:modified xsi:type="dcterms:W3CDTF">2023-01-04T11:34:00Z</dcterms:modified>
</cp:coreProperties>
</file>